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Smlouva </w:t>
      </w:r>
      <w:r w:rsidDel="00000000" w:rsidR="00000000" w:rsidRPr="00000000">
        <w:rPr>
          <w:rFonts w:ascii="Calibri" w:cs="Calibri" w:eastAsia="Calibri" w:hAnsi="Calibri"/>
          <w:b w:val="1"/>
          <w:sz w:val="36"/>
          <w:szCs w:val="36"/>
          <w:rtl w:val="0"/>
        </w:rPr>
        <w:t xml:space="preserve">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ab/>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Smluvní strany:</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(dále jen „poskytovatel“) na straně jedné</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D">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p>
    <w:p w:rsidR="00000000" w:rsidDel="00000000" w:rsidP="00000000" w:rsidRDefault="00000000" w:rsidRPr="00000000" w14:paraId="0000000E">
      <w:pPr>
        <w:spacing w:before="0" w:lineRule="auto"/>
        <w:rPr>
          <w:rFonts w:ascii="Calibri" w:cs="Calibri" w:eastAsia="Calibri" w:hAnsi="Calibri"/>
        </w:rPr>
      </w:pPr>
      <w:r w:rsidDel="00000000" w:rsidR="00000000" w:rsidRPr="00000000">
        <w:rPr>
          <w:rFonts w:ascii="Calibri" w:cs="Calibri" w:eastAsia="Calibri" w:hAnsi="Calibri"/>
          <w:i w:val="1"/>
          <w:rtl w:val="0"/>
        </w:rPr>
        <w:t xml:space="preserve">zapsaná v (je-li relevantní – např. v obchodním či jiném rejstříku)</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   </w:t>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rtl w:val="0"/>
        </w:rPr>
        <w:t xml:space="preserve">číslo účtu: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(dále jen „</w:t>
      </w:r>
      <w:r w:rsidDel="00000000" w:rsidR="00000000" w:rsidRPr="00000000">
        <w:rPr>
          <w:rFonts w:ascii="Calibri" w:cs="Calibri" w:eastAsia="Calibri" w:hAnsi="Calibri"/>
          <w:rtl w:val="0"/>
        </w:rPr>
        <w:t xml:space="preserve">Hlavní příjemce“) na straně druhé</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uzavřely níže uvedeného dne, měsíce a roku tuto</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Smlouvu o poskytnutí podpory</w:t>
      </w:r>
      <w:r w:rsidDel="00000000" w:rsidR="00000000" w:rsidRPr="00000000">
        <w:rPr>
          <w:rtl w:val="0"/>
        </w:rPr>
      </w:r>
    </w:p>
    <w:p w:rsidR="00000000" w:rsidDel="00000000" w:rsidP="00000000" w:rsidRDefault="00000000" w:rsidRPr="00000000" w14:paraId="0000001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(dále jen „Smlouva“)</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b w:val="1"/>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v následujícím programu: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w:t>
        <w:br w:type="textWrapping"/>
      </w:r>
      <w:r w:rsidDel="00000000" w:rsidR="00000000" w:rsidRPr="00000000">
        <w:rPr>
          <w:rFonts w:ascii="Calibri" w:cs="Calibri" w:eastAsia="Calibri" w:hAnsi="Calibri"/>
          <w:color w:val="000000"/>
          <w:rtl w:val="0"/>
        </w:rPr>
        <w:t xml:space="preserve">V souladu s § 9 ZPVV proto Poskytovatel uzavírá t</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to Smlouvu. Veškeré pojmy použité ve Smlouvě </w:t>
      </w:r>
      <w:r w:rsidDel="00000000" w:rsidR="00000000" w:rsidRPr="00000000">
        <w:rPr>
          <w:rFonts w:ascii="Calibri" w:cs="Calibri" w:eastAsia="Calibri" w:hAnsi="Calibri"/>
          <w:rtl w:val="0"/>
        </w:rPr>
        <w:t xml:space="preserve">definujeme</w:t>
      </w:r>
      <w:r w:rsidDel="00000000" w:rsidR="00000000" w:rsidRPr="00000000">
        <w:rPr>
          <w:rFonts w:ascii="Calibri" w:cs="Calibri" w:eastAsia="Calibri" w:hAnsi="Calibri"/>
          <w:color w:val="000000"/>
          <w:rtl w:val="0"/>
        </w:rPr>
        <w:t xml:space="preserve"> ve Všeobecných podmínkách.</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smlouvy</w:t>
      </w:r>
      <w:r w:rsidDel="00000000" w:rsidR="00000000" w:rsidRPr="00000000">
        <w:rPr>
          <w:rtl w:val="0"/>
        </w:rPr>
      </w:r>
    </w:p>
    <w:p w:rsidR="00000000" w:rsidDel="00000000" w:rsidP="00000000" w:rsidRDefault="00000000" w:rsidRPr="00000000" w14:paraId="0000001D">
      <w:pPr>
        <w:numPr>
          <w:ilvl w:val="0"/>
          <w:numId w:val="1"/>
        </w:numPr>
        <w:ind w:left="425" w:hanging="425"/>
        <w:rPr/>
      </w:pPr>
      <w:r w:rsidDel="00000000" w:rsidR="00000000" w:rsidRPr="00000000">
        <w:rPr>
          <w:rFonts w:ascii="Calibri" w:cs="Calibri" w:eastAsia="Calibri" w:hAnsi="Calibri"/>
          <w:rtl w:val="0"/>
        </w:rPr>
        <w:t xml:space="preserve">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r w:rsidDel="00000000" w:rsidR="00000000" w:rsidRPr="00000000">
        <w:rPr>
          <w:rtl w:val="0"/>
        </w:rPr>
      </w:r>
    </w:p>
    <w:p w:rsidR="00000000" w:rsidDel="00000000" w:rsidP="00000000" w:rsidRDefault="00000000" w:rsidRPr="00000000" w14:paraId="0000001E">
      <w:pPr>
        <w:numPr>
          <w:ilvl w:val="0"/>
          <w:numId w:val="1"/>
        </w:numPr>
        <w:ind w:left="425" w:hanging="425"/>
        <w:rPr/>
      </w:pPr>
      <w:r w:rsidDel="00000000" w:rsidR="00000000" w:rsidRPr="00000000">
        <w:rPr>
          <w:rFonts w:ascii="Calibri" w:cs="Calibri" w:eastAsia="Calibri" w:hAnsi="Calibri"/>
          <w:rtl w:val="0"/>
        </w:rPr>
        <w:t xml:space="preserve">Účelem podpory je dosažení stanovených cílů projektu, tj. cílů uvedených v příloze Závazné parametry řešení projektu.</w:t>
      </w:r>
      <w:r w:rsidDel="00000000" w:rsidR="00000000" w:rsidRPr="00000000">
        <w:rPr>
          <w:rtl w:val="0"/>
        </w:rPr>
      </w:r>
    </w:p>
    <w:p w:rsidR="00000000" w:rsidDel="00000000" w:rsidP="00000000" w:rsidRDefault="00000000" w:rsidRPr="00000000" w14:paraId="0000001F">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2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21">
      <w:pPr>
        <w:numPr>
          <w:ilvl w:val="0"/>
          <w:numId w:val="4"/>
        </w:numPr>
        <w:ind w:left="425" w:hanging="425"/>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 XXX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 což je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 z maximální výše uznaných nákladů.</w:t>
      </w:r>
      <w:r w:rsidDel="00000000" w:rsidR="00000000" w:rsidRPr="00000000">
        <w:rPr>
          <w:rtl w:val="0"/>
        </w:rPr>
      </w:r>
    </w:p>
    <w:p w:rsidR="00000000" w:rsidDel="00000000" w:rsidP="00000000" w:rsidRDefault="00000000" w:rsidRPr="00000000" w14:paraId="00000022">
      <w:pPr>
        <w:numPr>
          <w:ilvl w:val="0"/>
          <w:numId w:val="4"/>
        </w:numPr>
        <w:ind w:left="425" w:hanging="425"/>
        <w:rPr/>
      </w:pPr>
      <w:r w:rsidDel="00000000" w:rsidR="00000000" w:rsidRPr="00000000">
        <w:rPr>
          <w:rFonts w:ascii="Calibri" w:cs="Calibri" w:eastAsia="Calibri" w:hAnsi="Calibri"/>
          <w:rtl w:val="0"/>
        </w:rPr>
        <w:t xml:space="preserve">Maximální výše uznaných nákladů projektu </w:t>
      </w:r>
      <w:r w:rsidDel="00000000" w:rsidR="00000000" w:rsidRPr="00000000">
        <w:rPr>
          <w:rFonts w:ascii="Calibri" w:cs="Calibri" w:eastAsia="Calibri" w:hAnsi="Calibri"/>
          <w:rtl w:val="0"/>
        </w:rPr>
        <w:t xml:space="preserve">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w:t>
      </w:r>
      <w:r w:rsidDel="00000000" w:rsidR="00000000" w:rsidRPr="00000000">
        <w:rPr>
          <w:rtl w:val="0"/>
        </w:rPr>
      </w:r>
    </w:p>
    <w:p w:rsidR="00000000" w:rsidDel="00000000" w:rsidP="00000000" w:rsidRDefault="00000000" w:rsidRPr="00000000" w14:paraId="00000023">
      <w:pPr>
        <w:numPr>
          <w:ilvl w:val="0"/>
          <w:numId w:val="4"/>
        </w:numPr>
        <w:ind w:left="425" w:hanging="425"/>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rtl w:val="0"/>
        </w:rPr>
        <w:t xml:space="preserve">% uznaných nákladů projektu.</w:t>
      </w:r>
      <w:r w:rsidDel="00000000" w:rsidR="00000000" w:rsidRPr="00000000">
        <w:rPr>
          <w:rtl w:val="0"/>
        </w:rPr>
      </w:r>
    </w:p>
    <w:bookmarkStart w:colFirst="0" w:colLast="0" w:name="30j0zll" w:id="1"/>
    <w:bookmarkEnd w:id="1"/>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6">
      <w:pPr>
        <w:numPr>
          <w:ilvl w:val="0"/>
          <w:numId w:val="3"/>
        </w:numPr>
        <w:ind w:left="425" w:hanging="425"/>
        <w:rPr/>
      </w:pPr>
      <w:r w:rsidDel="00000000" w:rsidR="00000000" w:rsidRPr="00000000">
        <w:rPr>
          <w:rFonts w:ascii="Calibri" w:cs="Calibri" w:eastAsia="Calibri" w:hAnsi="Calibri"/>
          <w:rtl w:val="0"/>
        </w:rPr>
        <w:t xml:space="preserve">Nedílnou součástí Smlouvy je příloha Závazné parametry řešení projektu,</w:t>
      </w:r>
      <w:r w:rsidDel="00000000" w:rsidR="00000000" w:rsidRPr="00000000">
        <w:rPr>
          <w:rFonts w:ascii="Calibri" w:cs="Calibri" w:eastAsia="Calibri" w:hAnsi="Calibri"/>
          <w:rtl w:val="0"/>
        </w:rPr>
        <w:t xml:space="preserve"> která je Schváleným návrhem projektu ve smyslu § 9 odst. 2 ZPVV. Závazné parametry řešení projektu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7">
      <w:pPr>
        <w:numPr>
          <w:ilvl w:val="0"/>
          <w:numId w:val="3"/>
        </w:numPr>
        <w:ind w:left="425" w:hanging="425"/>
        <w:rPr/>
      </w:pPr>
      <w:r w:rsidDel="00000000" w:rsidR="00000000" w:rsidRPr="00000000">
        <w:rPr>
          <w:rFonts w:ascii="Calibri" w:cs="Calibri" w:eastAsia="Calibri" w:hAnsi="Calibri"/>
          <w:rtl w:val="0"/>
        </w:rPr>
        <w:t xml:space="preserve">Další podmínky poskytnutí podpory a řešení projektu uvádíme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r w:rsidDel="00000000" w:rsidR="00000000" w:rsidRPr="00000000">
        <w:rPr>
          <w:rtl w:val="0"/>
        </w:rPr>
      </w:r>
    </w:p>
    <w:p w:rsidR="00000000" w:rsidDel="00000000" w:rsidP="00000000" w:rsidRDefault="00000000" w:rsidRPr="00000000" w14:paraId="00000028">
      <w:pPr>
        <w:numPr>
          <w:ilvl w:val="0"/>
          <w:numId w:val="3"/>
        </w:numPr>
        <w:ind w:left="425" w:hanging="425"/>
        <w:rPr/>
      </w:pPr>
      <w:r w:rsidDel="00000000" w:rsidR="00000000" w:rsidRPr="00000000">
        <w:rPr>
          <w:rFonts w:ascii="Calibri" w:cs="Calibri" w:eastAsia="Calibri" w:hAnsi="Calibri"/>
          <w:rtl w:val="0"/>
        </w:rPr>
        <w:t xml:space="preserve">Obsahuje-li Smlouva úpravu odlišnou od Všeobecných podmínek či Závazných parametrů řešení projektu, </w:t>
      </w:r>
      <w:r w:rsidDel="00000000" w:rsidR="00000000" w:rsidRPr="00000000">
        <w:rPr>
          <w:rFonts w:ascii="Calibri" w:cs="Calibri" w:eastAsia="Calibri" w:hAnsi="Calibri"/>
          <w:rtl w:val="0"/>
        </w:rPr>
        <w:t xml:space="preserve">použijeme přednostně ustanovení Smlouvy,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bookmarkStart w:colFirst="0" w:colLast="0" w:name="1fob9te" w:id="2"/>
    <w:bookmarkEnd w:id="2"/>
    <w:p w:rsidR="00000000" w:rsidDel="00000000" w:rsidP="00000000" w:rsidRDefault="00000000" w:rsidRPr="00000000" w14:paraId="0000002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3znysh7" w:id="3"/>
    <w:bookmarkEnd w:id="3"/>
    <w:p w:rsidR="00000000" w:rsidDel="00000000" w:rsidP="00000000" w:rsidRDefault="00000000" w:rsidRPr="00000000" w14:paraId="0000002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D">
      <w:pPr>
        <w:numPr>
          <w:ilvl w:val="0"/>
          <w:numId w:val="5"/>
        </w:numPr>
        <w:ind w:left="425" w:hanging="283.2677165354331"/>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p>
    <w:p w:rsidR="00000000" w:rsidDel="00000000" w:rsidP="00000000" w:rsidRDefault="00000000" w:rsidRPr="00000000" w14:paraId="0000002E">
      <w:pPr>
        <w:numPr>
          <w:ilvl w:val="0"/>
          <w:numId w:val="5"/>
        </w:numPr>
        <w:ind w:left="425" w:hanging="283.2677165354331"/>
        <w:rPr>
          <w:rFonts w:ascii="Calibri" w:cs="Calibri" w:eastAsia="Calibri" w:hAnsi="Calibri"/>
        </w:rPr>
      </w:pPr>
      <w:r w:rsidDel="00000000" w:rsidR="00000000" w:rsidRPr="00000000">
        <w:rPr>
          <w:rFonts w:ascii="Calibri" w:cs="Calibri" w:eastAsia="Calibri" w:hAnsi="Calibri"/>
          <w:rtl w:val="0"/>
        </w:rPr>
        <w:t xml:space="preserve">Uvádí-li Všeobecné podmínky či související dokumenty pojem “veřejná soutěž”, pro potřeby projektu financovaného prostřednictvím mezinárodních výzev se jedná o mezinárodní výzvu definovanou v čl. 4 odst. 4 Smlouvy.</w:t>
      </w:r>
    </w:p>
    <w:p w:rsidR="00000000" w:rsidDel="00000000" w:rsidP="00000000" w:rsidRDefault="00000000" w:rsidRPr="00000000" w14:paraId="0000002F">
      <w:pPr>
        <w:numPr>
          <w:ilvl w:val="0"/>
          <w:numId w:val="5"/>
        </w:numPr>
        <w:ind w:left="425" w:hanging="283.2677165354331"/>
        <w:rPr>
          <w:rFonts w:ascii="Calibri" w:cs="Calibri" w:eastAsia="Calibri" w:hAnsi="Calibri"/>
        </w:rPr>
      </w:pPr>
      <w:r w:rsidDel="00000000" w:rsidR="00000000" w:rsidRPr="00000000">
        <w:rPr>
          <w:rFonts w:ascii="Calibri" w:cs="Calibri" w:eastAsia="Calibri" w:hAnsi="Calibri"/>
          <w:rtl w:val="0"/>
        </w:rPr>
        <w:t xml:space="preserve">Nad rámec Všeobecných podmínek má Hlavní příjemce povinnost dle zákona č. 563/1991 Sb., o účetnictví zveřejňovat účetní závěrku v příslušném rejstříku ve smyslu zákona č. 304/2013 Sb., o veřejných rejstřících právnických a fyzických osob, a to po celou dobu řešení projektu.</w:t>
      </w:r>
    </w:p>
    <w:p w:rsidR="00000000" w:rsidDel="00000000" w:rsidP="00000000" w:rsidRDefault="00000000" w:rsidRPr="00000000" w14:paraId="00000030">
      <w:pPr>
        <w:numPr>
          <w:ilvl w:val="0"/>
          <w:numId w:val="5"/>
        </w:numPr>
        <w:spacing w:after="120" w:lineRule="auto"/>
        <w:ind w:left="425" w:hanging="283.2677165354331"/>
        <w:rPr>
          <w:rFonts w:ascii="Calibri" w:cs="Calibri" w:eastAsia="Calibri" w:hAnsi="Calibri"/>
        </w:rPr>
      </w:pPr>
      <w:r w:rsidDel="00000000" w:rsidR="00000000" w:rsidRPr="00000000">
        <w:rPr>
          <w:rFonts w:ascii="Calibri" w:cs="Calibri" w:eastAsia="Calibri" w:hAnsi="Calibri"/>
          <w:rtl w:val="0"/>
        </w:rPr>
        <w:t xml:space="preserve">Článek 2 Všeobecných podmínek „Vymezení pojmů” se doplňuje o tyto pojmy: </w:t>
      </w:r>
    </w:p>
    <w:p w:rsidR="00000000" w:rsidDel="00000000" w:rsidP="00000000" w:rsidRDefault="00000000" w:rsidRPr="00000000" w14:paraId="00000031">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32">
      <w:pPr>
        <w:ind w:left="850" w:firstLine="0"/>
        <w:rPr>
          <w:rFonts w:ascii="Calibri" w:cs="Calibri" w:eastAsia="Calibri" w:hAnsi="Calibri"/>
        </w:rPr>
      </w:pPr>
      <w:r w:rsidDel="00000000" w:rsidR="00000000" w:rsidRPr="00000000">
        <w:rPr>
          <w:rFonts w:ascii="Calibri" w:cs="Calibri" w:eastAsia="Calibri" w:hAnsi="Calibri"/>
          <w:rtl w:val="0"/>
        </w:rPr>
        <w:t xml:space="preserve">„Mezinárodní výzvou” se rozumí výzva, kterou společně vyhlašuje konsorcium poskytovatelů daného ERA-NET Cofundu/Evropského partnerství. Do výzvy předkládají projekty konsorcia mezinárodních partnerů, přičemž každý poskytovatel financuje své národní úspěšné uchazeče ve výzvě.</w:t>
      </w:r>
    </w:p>
    <w:p w:rsidR="00000000" w:rsidDel="00000000" w:rsidP="00000000" w:rsidRDefault="00000000" w:rsidRPr="00000000" w14:paraId="00000033">
      <w:pPr>
        <w:numPr>
          <w:ilvl w:val="0"/>
          <w:numId w:val="5"/>
        </w:numPr>
        <w:ind w:left="360" w:hanging="218.26771653543312"/>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w:t>
      </w:r>
      <w:r w:rsidDel="00000000" w:rsidR="00000000" w:rsidRPr="00000000">
        <w:rPr>
          <w:rFonts w:ascii="Arial" w:cs="Arial" w:eastAsia="Arial" w:hAnsi="Arial"/>
          <w:color w:val="222222"/>
          <w:highlight w:val="white"/>
          <w:rtl w:val="0"/>
        </w:rPr>
        <w:t xml:space="preserve">a související ustanovení se použijí i pro konsorciální smlouvu se zahraničním partnerem, kdy se ve vztahu k zahraničnímu partnerovi neuplatní povinnosti dle čl. 6 odst. 2 písm. c) a d)</w:t>
      </w:r>
      <w:r w:rsidDel="00000000" w:rsidR="00000000" w:rsidRPr="00000000">
        <w:rPr>
          <w:rFonts w:ascii="Calibri" w:cs="Calibri" w:eastAsia="Calibri" w:hAnsi="Calibri"/>
          <w:rtl w:val="0"/>
        </w:rPr>
        <w:t xml:space="preserve">. Konsorciální smlouva musí být v anglickém jazyce. Nesplnění této povinnosti má za následek vznik povinnosti uhradit smluvní pokutu ve výši 1 000 Kč za každý započatý měsíc, kdy není povinnost splněna, maximálně však 30 000 Kč. </w:t>
      </w:r>
    </w:p>
    <w:p w:rsidR="00000000" w:rsidDel="00000000" w:rsidP="00000000" w:rsidRDefault="00000000" w:rsidRPr="00000000" w14:paraId="00000034">
      <w:pPr>
        <w:numPr>
          <w:ilvl w:val="0"/>
          <w:numId w:val="5"/>
        </w:numPr>
        <w:spacing w:after="120" w:lineRule="auto"/>
        <w:ind w:left="360" w:right="-182" w:hanging="218.26771653543312"/>
        <w:rPr/>
      </w:pPr>
      <w:bookmarkStart w:colFirst="0" w:colLast="0" w:name="_2et92p0" w:id="4"/>
      <w:bookmarkEnd w:id="4"/>
      <w:r w:rsidDel="00000000" w:rsidR="00000000" w:rsidRPr="00000000">
        <w:rPr>
          <w:rFonts w:ascii="Calibri" w:cs="Calibri" w:eastAsia="Calibri" w:hAnsi="Calibri"/>
          <w:rtl w:val="0"/>
        </w:rPr>
        <w:t xml:space="preserve"> Čl. 11 Všeobecných podmínek se doplňuje o nový odst. 5, který zní:</w:t>
      </w:r>
      <w:r w:rsidDel="00000000" w:rsidR="00000000" w:rsidRPr="00000000">
        <w:rPr>
          <w:rtl w:val="0"/>
        </w:rPr>
      </w:r>
    </w:p>
    <w:p w:rsidR="00000000" w:rsidDel="00000000" w:rsidP="00000000" w:rsidRDefault="00000000" w:rsidRPr="00000000" w14:paraId="00000035">
      <w:pPr>
        <w:spacing w:after="120" w:lineRule="auto"/>
        <w:ind w:left="850" w:right="-182" w:firstLine="0"/>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Příjemce je povinen přispívat k průběžným mezinárodním zprávám o pokroku projektu a závěrečné zprávě podle požadavků koordinátora konsorcia projektu (dále jako „koordinátor”), přičemž koordinátorem může být i příjemce. Koordinátor je odpovědný za předkládání těchto zpráv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v četnosti stanovené v oficiálních dokumentech výzvy, přičemž koordinátor obdrží včas požadované šablony zpráv od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které poskytne příjemci k vyplnění.”</w:t>
      </w:r>
      <w:r w:rsidDel="00000000" w:rsidR="00000000" w:rsidRPr="00000000">
        <w:rPr>
          <w:rtl w:val="0"/>
        </w:rPr>
      </w:r>
    </w:p>
    <w:p w:rsidR="00000000" w:rsidDel="00000000" w:rsidP="00000000" w:rsidRDefault="00000000" w:rsidRPr="00000000" w14:paraId="00000036">
      <w:pPr>
        <w:keepNext w:val="1"/>
        <w:keepLines w:val="1"/>
        <w:numPr>
          <w:ilvl w:val="0"/>
          <w:numId w:val="5"/>
        </w:numPr>
        <w:pBdr>
          <w:top w:space="0" w:sz="0" w:val="nil"/>
          <w:left w:space="0" w:sz="0" w:val="nil"/>
          <w:bottom w:space="0" w:sz="0" w:val="nil"/>
          <w:right w:space="0" w:sz="0" w:val="nil"/>
          <w:between w:space="0" w:sz="0" w:val="nil"/>
        </w:pBdr>
        <w:ind w:left="426" w:hanging="284.2677165354331"/>
        <w:rPr>
          <w:rFonts w:ascii="Calibri" w:cs="Calibri" w:eastAsia="Calibri" w:hAnsi="Calibri"/>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000000" w:rsidDel="00000000" w:rsidP="00000000" w:rsidRDefault="00000000" w:rsidRPr="00000000" w14:paraId="00000037">
      <w:pPr>
        <w:numPr>
          <w:ilvl w:val="0"/>
          <w:numId w:val="5"/>
        </w:numPr>
        <w:spacing w:line="240" w:lineRule="auto"/>
        <w:ind w:left="360" w:hanging="218.26771653543312"/>
        <w:rPr/>
      </w:pPr>
      <w:r w:rsidDel="00000000" w:rsidR="00000000" w:rsidRPr="00000000">
        <w:rPr>
          <w:rFonts w:ascii="Calibri" w:cs="Calibri" w:eastAsia="Calibri" w:hAnsi="Calibri"/>
          <w:rtl w:val="0"/>
        </w:rPr>
        <w:t xml:space="preserve">  Čl. 14 Všeobecných podmínek se doplňuje o nový odst. 5, který zní:</w:t>
      </w:r>
      <w:r w:rsidDel="00000000" w:rsidR="00000000" w:rsidRPr="00000000">
        <w:rPr>
          <w:rtl w:val="0"/>
        </w:rPr>
      </w:r>
    </w:p>
    <w:p w:rsidR="00000000" w:rsidDel="00000000" w:rsidP="00000000" w:rsidRDefault="00000000" w:rsidRPr="00000000" w14:paraId="00000038">
      <w:pPr>
        <w:spacing w:line="240" w:lineRule="auto"/>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anglickém jazyce.“</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76" w:lineRule="auto"/>
        <w:ind w:left="425" w:right="0" w:hanging="283.2677165354331"/>
        <w:jc w:val="both"/>
        <w:rPr/>
      </w:pPr>
      <w:r w:rsidDel="00000000" w:rsidR="00000000" w:rsidRPr="00000000">
        <w:rPr>
          <w:rFonts w:ascii="Calibri" w:cs="Calibri" w:eastAsia="Calibri" w:hAnsi="Calibri"/>
          <w:rtl w:val="0"/>
        </w:rPr>
        <w:t xml:space="preserve"> Čl. 17 Všeobecných podmínek se doplňuje o nový odst. 11, který zní:</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3B">
      <w:pPr>
        <w:numPr>
          <w:ilvl w:val="0"/>
          <w:numId w:val="5"/>
        </w:numPr>
        <w:ind w:left="425" w:hanging="283.267716535433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Čl. 17 Všeobecných podmínek se doplňuje o nový odst. 12, který zní:</w:t>
      </w:r>
    </w:p>
    <w:p w:rsidR="00000000" w:rsidDel="00000000" w:rsidP="00000000" w:rsidRDefault="00000000" w:rsidRPr="00000000" w14:paraId="0000003C">
      <w:pPr>
        <w:ind w:left="360" w:right="560" w:firstLine="490.39370078740177"/>
        <w:rPr>
          <w:rFonts w:ascii="Calibri" w:cs="Calibri" w:eastAsia="Calibri" w:hAnsi="Calibri"/>
        </w:rPr>
      </w:pPr>
      <w:r w:rsidDel="00000000" w:rsidR="00000000" w:rsidRPr="00000000">
        <w:rPr>
          <w:rFonts w:ascii="Calibri" w:cs="Calibri" w:eastAsia="Calibri" w:hAnsi="Calibri"/>
          <w:rtl w:val="0"/>
        </w:rPr>
        <w:t xml:space="preserve">„Náklady se zdanitelným plněním po 30. 6. 2026 nebudou považovány za uznané.“</w:t>
      </w:r>
      <w:r w:rsidDel="00000000" w:rsidR="00000000" w:rsidRPr="00000000">
        <w:rPr>
          <w:rtl w:val="0"/>
        </w:rPr>
      </w:r>
    </w:p>
    <w:p w:rsidR="00000000" w:rsidDel="00000000" w:rsidP="00000000" w:rsidRDefault="00000000" w:rsidRPr="00000000" w14:paraId="0000003D">
      <w:pPr>
        <w:numPr>
          <w:ilvl w:val="0"/>
          <w:numId w:val="5"/>
        </w:numPr>
        <w:ind w:left="425" w:hanging="283.2677165354331"/>
        <w:rPr>
          <w:rFonts w:ascii="Calibri" w:cs="Calibri" w:eastAsia="Calibri" w:hAnsi="Calibri"/>
        </w:rPr>
      </w:pPr>
      <w:r w:rsidDel="00000000" w:rsidR="00000000" w:rsidRPr="00000000">
        <w:rPr>
          <w:rFonts w:ascii="Calibri" w:cs="Calibri" w:eastAsia="Calibri" w:hAnsi="Calibri"/>
          <w:rtl w:val="0"/>
        </w:rPr>
        <w:t xml:space="preserve">  Poskytovatel se zavazuje poskytnout podporu v každém roce řešení ve výši uvedené v Závazných  parametrech řešení projektu</w:t>
      </w:r>
    </w:p>
    <w:p w:rsidR="00000000" w:rsidDel="00000000" w:rsidP="00000000" w:rsidRDefault="00000000" w:rsidRPr="00000000" w14:paraId="0000003E">
      <w:pPr>
        <w:numPr>
          <w:ilvl w:val="1"/>
          <w:numId w:val="5"/>
        </w:numPr>
        <w:ind w:left="851" w:right="566" w:hanging="283"/>
        <w:rPr>
          <w:rFonts w:ascii="Calibri" w:cs="Calibri" w:eastAsia="Calibri" w:hAnsi="Calibri"/>
        </w:rPr>
      </w:pPr>
      <w:r w:rsidDel="00000000" w:rsidR="00000000" w:rsidRPr="00000000">
        <w:rPr>
          <w:rFonts w:ascii="Calibri" w:cs="Calibri" w:eastAsia="Calibri" w:hAnsi="Calibri"/>
          <w:rtl w:val="0"/>
        </w:rPr>
        <w:t xml:space="preserve">do 60 kalendářních dnů ode dne nabytí účinnosti Smlouvy a</w:t>
      </w:r>
    </w:p>
    <w:p w:rsidR="00000000" w:rsidDel="00000000" w:rsidP="00000000" w:rsidRDefault="00000000" w:rsidRPr="00000000" w14:paraId="0000003F">
      <w:pPr>
        <w:numPr>
          <w:ilvl w:val="1"/>
          <w:numId w:val="5"/>
        </w:numPr>
        <w:ind w:left="851" w:right="566" w:hanging="283"/>
        <w:rPr>
          <w:rFonts w:ascii="Calibri" w:cs="Calibri" w:eastAsia="Calibri" w:hAnsi="Calibri"/>
        </w:rPr>
      </w:pPr>
      <w:r w:rsidDel="00000000" w:rsidR="00000000" w:rsidRPr="00000000">
        <w:rPr>
          <w:rFonts w:ascii="Calibri" w:cs="Calibri" w:eastAsia="Calibri" w:hAnsi="Calibri"/>
          <w:rtl w:val="0"/>
        </w:rPr>
        <w:t xml:space="preserve">u víceletých projektů pro druhý a každý následující rok řešení do 60 kalendářních dnů od začátku příslušného kalendářního roku.</w:t>
      </w:r>
    </w:p>
    <w:p w:rsidR="00000000" w:rsidDel="00000000" w:rsidP="00000000" w:rsidRDefault="00000000" w:rsidRPr="00000000" w14:paraId="00000040">
      <w:pPr>
        <w:numPr>
          <w:ilvl w:val="0"/>
          <w:numId w:val="5"/>
        </w:numPr>
        <w:ind w:left="566.9291338582675" w:right="566" w:hanging="425.1968503937007"/>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p>
    <w:p w:rsidR="00000000" w:rsidDel="00000000" w:rsidP="00000000" w:rsidRDefault="00000000" w:rsidRPr="00000000" w14:paraId="00000041">
      <w:pPr>
        <w:numPr>
          <w:ilvl w:val="0"/>
          <w:numId w:val="5"/>
        </w:numPr>
        <w:ind w:left="566.9291338582675" w:right="566" w:hanging="425.1968503937007"/>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w:t>
      </w:r>
      <w:r w:rsidDel="00000000" w:rsidR="00000000" w:rsidRPr="00000000">
        <w:rPr>
          <w:rFonts w:ascii="Roboto" w:cs="Roboto" w:eastAsia="Roboto" w:hAnsi="Roboto"/>
          <w:sz w:val="20"/>
          <w:szCs w:val="20"/>
          <w:highlight w:val="white"/>
          <w:rtl w:val="0"/>
        </w:rPr>
        <w:t xml:space="preserve">o dostupnosti a způsobu šíření výsledků výzkumu a výzkumných dat, pokud byly vytvořeny za podpory z veřejných prostředků podle tohoto zákona, v souladu se zásadou, že výsledky výzkumu a výzkumná data nejsou zveřejňovány pouze v odůvodněných případech.</w:t>
      </w:r>
      <w:r w:rsidDel="00000000" w:rsidR="00000000" w:rsidRPr="00000000">
        <w:rPr>
          <w:rtl w:val="0"/>
        </w:rPr>
      </w:r>
    </w:p>
    <w:p w:rsidR="00000000" w:rsidDel="00000000" w:rsidP="00000000" w:rsidRDefault="00000000" w:rsidRPr="00000000" w14:paraId="00000042">
      <w:pPr>
        <w:numPr>
          <w:ilvl w:val="0"/>
          <w:numId w:val="5"/>
        </w:numPr>
        <w:ind w:left="566.9291338582675" w:right="566" w:hanging="425.1968503937007"/>
        <w:rPr>
          <w:rFonts w:ascii="Calibri" w:cs="Calibri" w:eastAsia="Calibri" w:hAnsi="Calibri"/>
        </w:rPr>
      </w:pPr>
      <w:r w:rsidDel="00000000" w:rsidR="00000000" w:rsidRPr="00000000">
        <w:rPr>
          <w:rFonts w:ascii="Calibri" w:cs="Calibri" w:eastAsia="Calibri" w:hAnsi="Calibri"/>
          <w:rtl w:val="0"/>
        </w:rPr>
        <w:t xml:space="preserve">Nad rámec Všeobecných podmínek je příjemce povinen dodržovat během realizace projektu zásadu "významně nepoškozovat" ve smyslu článku 17 Nařízení Evropského parlamentu a Rady (EU) 2020/852 ze dne 18. června 2020 o zřízení rámce pro usnadnění udržitelných investic a o změně nařízení (EU) 2019/2088, tzn. nesmí dojít k porušení ani jednoho z šesti environmentálních cílů a výsledky projektu budou na úrovni uplatňování technologicky neutrální.</w:t>
      </w:r>
      <w:r w:rsidDel="00000000" w:rsidR="00000000" w:rsidRPr="00000000">
        <w:rPr>
          <w:rtl w:val="0"/>
        </w:rPr>
      </w:r>
    </w:p>
    <w:p w:rsidR="00000000" w:rsidDel="00000000" w:rsidP="00000000" w:rsidRDefault="00000000" w:rsidRPr="00000000" w14:paraId="00000043">
      <w:pPr>
        <w:numPr>
          <w:ilvl w:val="0"/>
          <w:numId w:val="5"/>
        </w:numPr>
        <w:ind w:left="425.19685039370086" w:right="-182" w:hanging="278.2677165354331"/>
        <w:rPr/>
      </w:pPr>
      <w:r w:rsidDel="00000000" w:rsidR="00000000" w:rsidRPr="00000000">
        <w:rPr>
          <w:rFonts w:ascii="Calibri" w:cs="Calibri" w:eastAsia="Calibri" w:hAnsi="Calibri"/>
          <w:rtl w:val="0"/>
        </w:rPr>
        <w:t xml:space="preserve">Čl. 4 odst. 2 písm. c) Všeobecných podmínek se mění takto:</w:t>
      </w:r>
      <w:r w:rsidDel="00000000" w:rsidR="00000000" w:rsidRPr="00000000">
        <w:rPr>
          <w:rtl w:val="0"/>
        </w:rPr>
      </w:r>
    </w:p>
    <w:p w:rsidR="00000000" w:rsidDel="00000000" w:rsidP="00000000" w:rsidRDefault="00000000" w:rsidRPr="00000000" w14:paraId="00000044">
      <w:pPr>
        <w:spacing w:after="240" w:before="24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“při prezentaci informací o řešeném projektu s podporou TA ČR či o jeho výsledcích v hromadných sdělovacích prostředcích či jiným způsobem, informovat přiměřeným způsobem o tom, že projekt byl realizován za finanční podpory TA ČR, a to na všech propagačních materiálech i ve všech typech médií, které se k projektu či jeho výsledkům a výstupům vztahují, a to v souladu s podmínkami vizuální identity uveřejněnými na webových stránkách poskytovatele, a též v souladu s podmínkami vizuální identity stanovenými v Metodickém pokynu pro publicitu a komunikaci pro Národní plán obnovy na období 2021–2026.”</w:t>
      </w:r>
    </w:p>
    <w:p w:rsidR="00000000" w:rsidDel="00000000" w:rsidP="00000000" w:rsidRDefault="00000000" w:rsidRPr="00000000" w14:paraId="00000045">
      <w:pPr>
        <w:numPr>
          <w:ilvl w:val="0"/>
          <w:numId w:val="5"/>
        </w:numPr>
        <w:ind w:left="360" w:right="-182" w:hanging="218.26771653543312"/>
        <w:rPr/>
      </w:pPr>
      <w:r w:rsidDel="00000000" w:rsidR="00000000" w:rsidRPr="00000000">
        <w:rPr>
          <w:rFonts w:ascii="Calibri" w:cs="Calibri" w:eastAsia="Calibri" w:hAnsi="Calibri"/>
          <w:rtl w:val="0"/>
        </w:rPr>
        <w:t xml:space="preserve">Nad rámec Všeobecných podmínek je příjemce povinen učinit veškerá opatření, aby nevznikl střet zájmů ve smyslu článku 61 Nařízení Evropského parlamentu a Rady (EU) 2018/1046 ze dne 18. července 2018, a pokud taková situace nastane, je povinen tuto skutečnost neprodleně oznámit poskytovateli.</w:t>
      </w:r>
      <w:r w:rsidDel="00000000" w:rsidR="00000000" w:rsidRPr="00000000">
        <w:rPr>
          <w:rtl w:val="0"/>
        </w:rPr>
      </w:r>
    </w:p>
    <w:p w:rsidR="00000000" w:rsidDel="00000000" w:rsidP="00000000" w:rsidRDefault="00000000" w:rsidRPr="00000000" w14:paraId="00000046">
      <w:pPr>
        <w:numPr>
          <w:ilvl w:val="0"/>
          <w:numId w:val="5"/>
        </w:numPr>
        <w:ind w:left="360" w:right="-182" w:hanging="218.26771653543312"/>
        <w:rPr/>
      </w:pPr>
      <w:r w:rsidDel="00000000" w:rsidR="00000000" w:rsidRPr="00000000">
        <w:rPr>
          <w:rFonts w:ascii="Calibri" w:cs="Calibri" w:eastAsia="Calibri" w:hAnsi="Calibri"/>
          <w:rtl w:val="0"/>
        </w:rPr>
        <w:t xml:space="preserve">Čl. 17 odst. 8 Všeobecných podmínek se nahrazuje tímto:</w:t>
      </w:r>
      <w:r w:rsidDel="00000000" w:rsidR="00000000" w:rsidRPr="00000000">
        <w:rPr>
          <w:rtl w:val="0"/>
        </w:rPr>
      </w:r>
    </w:p>
    <w:p w:rsidR="00000000" w:rsidDel="00000000" w:rsidP="00000000" w:rsidRDefault="00000000" w:rsidRPr="00000000" w14:paraId="00000047">
      <w:pPr>
        <w:ind w:left="850" w:right="-182" w:firstLine="0"/>
        <w:rPr>
          <w:rFonts w:ascii="Calibri" w:cs="Calibri" w:eastAsia="Calibri" w:hAnsi="Calibri"/>
        </w:rPr>
      </w:pPr>
      <w:r w:rsidDel="00000000" w:rsidR="00000000" w:rsidRPr="00000000">
        <w:rPr>
          <w:rFonts w:ascii="Calibri" w:cs="Calibri" w:eastAsia="Calibri" w:hAnsi="Calibri"/>
          <w:rtl w:val="0"/>
        </w:rPr>
        <w:t xml:space="preserve">“Daň z přidané hodnoty dle zákona č. 235/2004 Sb., o dani z přidané hodnoty není v této veřejné soutěži uznaný náklad, ani pro neplátce DPH.”</w:t>
      </w:r>
    </w:p>
    <w:p w:rsidR="00000000" w:rsidDel="00000000" w:rsidP="00000000" w:rsidRDefault="00000000" w:rsidRPr="00000000" w14:paraId="00000048">
      <w:pPr>
        <w:spacing w:before="36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4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4B">
      <w:pPr>
        <w:numPr>
          <w:ilvl w:val="0"/>
          <w:numId w:val="2"/>
        </w:numPr>
        <w:ind w:left="425" w:hanging="425"/>
        <w:rPr/>
      </w:pPr>
      <w:r w:rsidDel="00000000" w:rsidR="00000000" w:rsidRPr="00000000">
        <w:rPr>
          <w:rFonts w:ascii="Calibri" w:cs="Calibri" w:eastAsia="Calibri" w:hAnsi="Calibri"/>
          <w:rtl w:val="0"/>
        </w:rPr>
        <w:t xml:space="preserve">Smlouva </w:t>
      </w:r>
      <w:r w:rsidDel="00000000" w:rsidR="00000000" w:rsidRPr="00000000">
        <w:rPr>
          <w:rFonts w:ascii="Calibri" w:cs="Calibri" w:eastAsia="Calibri" w:hAnsi="Calibri"/>
          <w:rtl w:val="0"/>
        </w:rPr>
        <w:t xml:space="preserve">je vyhotovena ve dvou stejnopisech, z nichž Poskytovatel a Hlavní příjemce obdrží po jednom stejnopisu. Každý stejnopis má platnost originálu.</w:t>
      </w:r>
      <w:r w:rsidDel="00000000" w:rsidR="00000000" w:rsidRPr="00000000">
        <w:rPr>
          <w:rtl w:val="0"/>
        </w:rPr>
      </w:r>
    </w:p>
    <w:p w:rsidR="00000000" w:rsidDel="00000000" w:rsidP="00000000" w:rsidRDefault="00000000" w:rsidRPr="00000000" w14:paraId="0000004C">
      <w:pPr>
        <w:numPr>
          <w:ilvl w:val="0"/>
          <w:numId w:val="2"/>
        </w:numPr>
        <w:ind w:left="425" w:hanging="425"/>
        <w:rPr/>
      </w:pPr>
      <w:r w:rsidDel="00000000" w:rsidR="00000000" w:rsidRPr="00000000">
        <w:rPr>
          <w:rFonts w:ascii="Calibri" w:cs="Calibri" w:eastAsia="Calibri" w:hAnsi="Calibri"/>
          <w:rtl w:val="0"/>
        </w:rPr>
        <w:t xml:space="preserve">Hlavní příjemce prohlašuje a podpisem Smlouvy stvrzuje, že jím uvedené údaje, na jejichž základě je uzavřena, jsou správné, úplné a pravdivé.</w:t>
      </w:r>
      <w:r w:rsidDel="00000000" w:rsidR="00000000" w:rsidRPr="00000000">
        <w:rPr>
          <w:rtl w:val="0"/>
        </w:rPr>
      </w:r>
    </w:p>
    <w:p w:rsidR="00000000" w:rsidDel="00000000" w:rsidP="00000000" w:rsidRDefault="00000000" w:rsidRPr="00000000" w14:paraId="0000004D">
      <w:pPr>
        <w:numPr>
          <w:ilvl w:val="0"/>
          <w:numId w:val="2"/>
        </w:numPr>
        <w:ind w:left="425" w:hanging="425"/>
        <w:rPr/>
      </w:pPr>
      <w:r w:rsidDel="00000000" w:rsidR="00000000" w:rsidRPr="00000000">
        <w:rPr>
          <w:rFonts w:ascii="Calibri" w:cs="Calibri" w:eastAsia="Calibri" w:hAnsi="Calibri"/>
          <w:rtl w:val="0"/>
        </w:rPr>
        <w:t xml:space="preserve">Smlouva nabývá platnosti dnem podpisu smluvními stranami a účinnosti zveřejněním v registru smluv.</w:t>
      </w:r>
      <w:r w:rsidDel="00000000" w:rsidR="00000000" w:rsidRPr="00000000">
        <w:rPr>
          <w:rtl w:val="0"/>
        </w:rPr>
      </w:r>
    </w:p>
    <w:p w:rsidR="00000000" w:rsidDel="00000000" w:rsidP="00000000" w:rsidRDefault="00000000" w:rsidRPr="00000000" w14:paraId="0000004E">
      <w:pPr>
        <w:numPr>
          <w:ilvl w:val="0"/>
          <w:numId w:val="2"/>
        </w:numPr>
        <w:ind w:left="425" w:hanging="425"/>
        <w:rPr/>
      </w:pPr>
      <w:r w:rsidDel="00000000" w:rsidR="00000000" w:rsidRPr="00000000">
        <w:rPr>
          <w:rFonts w:ascii="Calibri" w:cs="Calibri" w:eastAsia="Calibri" w:hAnsi="Calibri"/>
          <w:rtl w:val="0"/>
        </w:rPr>
        <w:t xml:space="preserve">Smluvní strany prohlašují, že si Smlouvu včetně jejích příloh přečetly, s jejím obsahem souhlasí, a že byla sepsána na základě jejich pravé a svobodné vůle, prosté omylu, a na důkaz toho připojují své podpisy.</w:t>
      </w:r>
      <w:r w:rsidDel="00000000" w:rsidR="00000000" w:rsidRPr="00000000">
        <w:rPr>
          <w:rtl w:val="0"/>
        </w:rPr>
      </w:r>
    </w:p>
    <w:p w:rsidR="00000000" w:rsidDel="00000000" w:rsidP="00000000" w:rsidRDefault="00000000" w:rsidRPr="00000000" w14:paraId="0000004F">
      <w:pPr>
        <w:numPr>
          <w:ilvl w:val="0"/>
          <w:numId w:val="2"/>
        </w:numPr>
        <w:ind w:left="425" w:hanging="425"/>
        <w:rPr/>
      </w:pPr>
      <w:bookmarkStart w:colFirst="0" w:colLast="0" w:name="_tyjcwt" w:id="5"/>
      <w:bookmarkEnd w:id="5"/>
      <w:r w:rsidDel="00000000" w:rsidR="00000000" w:rsidRPr="00000000">
        <w:rPr>
          <w:rFonts w:ascii="Calibri" w:cs="Calibri" w:eastAsia="Calibri" w:hAnsi="Calibri"/>
          <w:color w:val="000000"/>
          <w:rtl w:val="0"/>
        </w:rPr>
        <w:t xml:space="preserve">Smluvní strany souhlasí se zveřejněním znění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mlouvy ve smyslu zákona č. 340/2015 Sb., o zvláštních podmínkách účinnosti některých smluv, uveřejňování těchto smluv a o registru smluv (zákon o registru smluv). Zveřejnění ve smyslu tohoto zákona provede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w:t>
      </w:r>
      <w:r w:rsidDel="00000000" w:rsidR="00000000" w:rsidRPr="00000000">
        <w:rPr>
          <w:rtl w:val="0"/>
        </w:rPr>
      </w:r>
    </w:p>
    <w:p w:rsidR="00000000" w:rsidDel="00000000" w:rsidP="00000000" w:rsidRDefault="00000000" w:rsidRPr="00000000" w14:paraId="00000050">
      <w:pPr>
        <w:numPr>
          <w:ilvl w:val="0"/>
          <w:numId w:val="2"/>
        </w:numPr>
        <w:ind w:left="425" w:hanging="425"/>
        <w:rPr/>
      </w:pPr>
      <w:r w:rsidDel="00000000" w:rsidR="00000000" w:rsidRPr="00000000">
        <w:rPr>
          <w:rFonts w:ascii="Calibri" w:cs="Calibri" w:eastAsia="Calibri" w:hAnsi="Calibri"/>
          <w:rtl w:val="0"/>
        </w:rPr>
        <w:t xml:space="preserve">Hlavní příjemce zároveň svým podpisem výslovně prohlašuje, že se seznámil se všemi pravidly stanovenými Všeobecnými podmínkami. </w:t>
      </w:r>
      <w:r w:rsidDel="00000000" w:rsidR="00000000" w:rsidRPr="00000000">
        <w:rPr>
          <w:rtl w:val="0"/>
        </w:rPr>
      </w:r>
    </w:p>
    <w:p w:rsidR="00000000" w:rsidDel="00000000" w:rsidP="00000000" w:rsidRDefault="00000000" w:rsidRPr="00000000" w14:paraId="00000051">
      <w:pPr>
        <w:tabs>
          <w:tab w:val="left" w:leader="none"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tabs>
          <w:tab w:val="left" w:leader="none" w:pos="426"/>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Podpisy smluvních stran</w:t>
      </w: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54">
            <w:pPr>
              <w:spacing w:after="40" w:before="40" w:lineRule="auto"/>
              <w:rPr>
                <w:rFonts w:ascii="Calibri" w:cs="Calibri" w:eastAsia="Calibri" w:hAnsi="Calibri"/>
              </w:rPr>
            </w:pPr>
            <w:r w:rsidDel="00000000" w:rsidR="00000000" w:rsidRPr="00000000">
              <w:rPr>
                <w:rFonts w:ascii="Calibri" w:cs="Calibri" w:eastAsia="Calibri" w:hAnsi="Calibri"/>
                <w:b w:val="1"/>
                <w:rtl w:val="0"/>
              </w:rPr>
              <w:t xml:space="preserve">Poskytovatel:</w:t>
            </w:r>
            <w:r w:rsidDel="00000000" w:rsidR="00000000" w:rsidRPr="00000000">
              <w:rPr>
                <w:rtl w:val="0"/>
              </w:rPr>
            </w:r>
          </w:p>
        </w:tc>
        <w:tc>
          <w:tcPr/>
          <w:p w:rsidR="00000000" w:rsidDel="00000000" w:rsidP="00000000" w:rsidRDefault="00000000" w:rsidRPr="00000000" w14:paraId="00000055">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6">
            <w:pPr>
              <w:spacing w:after="40" w:before="40" w:lineRule="auto"/>
              <w:rPr>
                <w:rFonts w:ascii="Calibri" w:cs="Calibri" w:eastAsia="Calibri" w:hAnsi="Calibri"/>
                <w:highlight w:val="yellow"/>
              </w:rPr>
            </w:pPr>
            <w:r w:rsidDel="00000000" w:rsidR="00000000" w:rsidRPr="00000000">
              <w:rPr>
                <w:rFonts w:ascii="Calibri" w:cs="Calibri" w:eastAsia="Calibri" w:hAnsi="Calibri"/>
                <w:rtl w:val="0"/>
              </w:rPr>
              <w:t xml:space="preserve">V Praze dne</w:t>
            </w:r>
            <w:r w:rsidDel="00000000" w:rsidR="00000000" w:rsidRPr="00000000">
              <w:rPr>
                <w:rFonts w:ascii="Calibri" w:cs="Calibri" w:eastAsia="Calibri" w:hAnsi="Calibri"/>
                <w:highlight w:val="yellow"/>
                <w:rtl w:val="0"/>
              </w:rPr>
              <w:t xml:space="preserve"> DD. MM. RRRR</w:t>
            </w:r>
          </w:p>
        </w:tc>
        <w:tc>
          <w:tcPr>
            <w:tcBorders>
              <w:bottom w:color="000000" w:space="0" w:sz="4" w:val="single"/>
            </w:tcBorders>
          </w:tcPr>
          <w:p w:rsidR="00000000" w:rsidDel="00000000" w:rsidP="00000000" w:rsidRDefault="00000000" w:rsidRPr="00000000" w14:paraId="00000057">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8">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bookmarkStart w:colFirst="0" w:colLast="0" w:name="3dy6vkm" w:id="6"/>
          <w:bookmarkEnd w:id="6"/>
          <w:p w:rsidR="00000000" w:rsidDel="00000000" w:rsidP="00000000" w:rsidRDefault="00000000" w:rsidRPr="00000000" w14:paraId="00000059">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předseda/předsedkyně TA ČR</w:t>
            </w:r>
          </w:p>
        </w:tc>
      </w:tr>
      <w:tr>
        <w:trPr>
          <w:cantSplit w:val="0"/>
          <w:trHeight w:val="560" w:hRule="atLeast"/>
          <w:tblHeader w:val="0"/>
        </w:trPr>
        <w:tc>
          <w:tcPr/>
          <w:p w:rsidR="00000000" w:rsidDel="00000000" w:rsidP="00000000" w:rsidRDefault="00000000" w:rsidRPr="00000000" w14:paraId="0000005A">
            <w:pPr>
              <w:spacing w:after="40" w:before="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B">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C">
            <w:pPr>
              <w:spacing w:after="40" w:before="40" w:lineRule="auto"/>
              <w:rPr>
                <w:rFonts w:ascii="Calibri" w:cs="Calibri" w:eastAsia="Calibri" w:hAnsi="Calibri"/>
              </w:rPr>
            </w:pPr>
            <w:r w:rsidDel="00000000" w:rsidR="00000000" w:rsidRPr="00000000">
              <w:rPr>
                <w:rFonts w:ascii="Calibri" w:cs="Calibri" w:eastAsia="Calibri" w:hAnsi="Calibri"/>
                <w:b w:val="1"/>
                <w:rtl w:val="0"/>
              </w:rPr>
              <w:t xml:space="preserve">(Hlavní příjemce):</w:t>
            </w:r>
            <w:r w:rsidDel="00000000" w:rsidR="00000000" w:rsidRPr="00000000">
              <w:rPr>
                <w:rtl w:val="0"/>
              </w:rPr>
            </w:r>
          </w:p>
        </w:tc>
        <w:tc>
          <w:tcPr/>
          <w:p w:rsidR="00000000" w:rsidDel="00000000" w:rsidP="00000000" w:rsidRDefault="00000000" w:rsidRPr="00000000" w14:paraId="0000005D">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E">
            <w:pPr>
              <w:spacing w:after="40" w:before="40" w:lineRule="auto"/>
              <w:rPr>
                <w:rFonts w:ascii="Calibri" w:cs="Calibri" w:eastAsia="Calibri" w:hAnsi="Calibri"/>
                <w:highlight w:val="yellow"/>
              </w:rPr>
            </w:pP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dne</w:t>
            </w:r>
            <w:r w:rsidDel="00000000" w:rsidR="00000000" w:rsidRPr="00000000">
              <w:rPr>
                <w:rFonts w:ascii="Calibri" w:cs="Calibri" w:eastAsia="Calibri" w:hAnsi="Calibri"/>
                <w:highlight w:val="yellow"/>
                <w:rtl w:val="0"/>
              </w:rPr>
              <w:t xml:space="preserve"> DD. MM. RRRR</w:t>
            </w:r>
          </w:p>
        </w:tc>
        <w:tc>
          <w:tcPr>
            <w:tcBorders>
              <w:bottom w:color="000000" w:space="0" w:sz="4" w:val="single"/>
            </w:tcBorders>
          </w:tcPr>
          <w:p w:rsidR="00000000" w:rsidDel="00000000" w:rsidP="00000000" w:rsidRDefault="00000000" w:rsidRPr="00000000" w14:paraId="0000005F">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0">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61">
            <w:pPr>
              <w:spacing w:after="40" w:before="40" w:lineRule="auto"/>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Jméno a příjmení osoby, která podepisuje za Hlavního příjemce</w:t>
            </w:r>
          </w:p>
        </w:tc>
      </w:tr>
    </w:tbl>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sectPr>
      <w:headerReference r:id="rId6" w:type="default"/>
      <w:footerReference r:id="rId7" w:type="default"/>
      <w:pgSz w:h="16838" w:w="11906" w:orient="portrait"/>
      <w:pgMar w:bottom="1134" w:top="2410" w:left="1134" w:right="1134" w:header="16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821"/>
        <w:tab w:val="right" w:leader="none" w:pos="9636"/>
      </w:tabs>
      <w:spacing w:before="0" w:line="240" w:lineRule="auto"/>
      <w:jc w:val="center"/>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F-352, </w:t>
    </w:r>
    <w:r w:rsidDel="00000000" w:rsidR="00000000" w:rsidRPr="00000000">
      <w:rPr>
        <w:rFonts w:ascii="Calibri" w:cs="Calibri" w:eastAsia="Calibri" w:hAnsi="Calibri"/>
        <w:sz w:val="16"/>
        <w:szCs w:val="16"/>
        <w:rtl w:val="0"/>
      </w:rPr>
      <w:t xml:space="preserve">v</w:t>
    </w:r>
    <w:r w:rsidDel="00000000" w:rsidR="00000000" w:rsidRPr="00000000">
      <w:rPr>
        <w:rFonts w:ascii="Calibri" w:cs="Calibri" w:eastAsia="Calibri" w:hAnsi="Calibri"/>
        <w:color w:val="000000"/>
        <w:sz w:val="16"/>
        <w:szCs w:val="16"/>
        <w:rtl w:val="0"/>
      </w:rPr>
      <w:t xml:space="preserve">erze </w:t>
    </w:r>
    <w:r w:rsidDel="00000000" w:rsidR="00000000" w:rsidRPr="00000000">
      <w:rPr>
        <w:rFonts w:ascii="Calibri" w:cs="Calibri" w:eastAsia="Calibri" w:hAnsi="Calibri"/>
        <w:sz w:val="16"/>
        <w:szCs w:val="16"/>
        <w:rtl w:val="0"/>
      </w:rPr>
      <w:t xml:space="preserve">4</w:t>
      <w:tab/>
      <w:t xml:space="preserve"> </w:t>
    </w:r>
    <w:r w:rsidDel="00000000" w:rsidR="00000000" w:rsidRPr="00000000">
      <w:rPr>
        <w:rFonts w:ascii="Calibri" w:cs="Calibri" w:eastAsia="Calibri" w:hAnsi="Calibri"/>
        <w:color w:val="000000"/>
        <w:sz w:val="16"/>
        <w:szCs w:val="16"/>
        <w:rtl w:val="0"/>
      </w:rPr>
      <w:t xml:space="preserve">Strana </w:t>
    </w:r>
    <w:r w:rsidDel="00000000" w:rsidR="00000000" w:rsidRPr="00000000">
      <w:rPr>
        <w:rFonts w:ascii="Calibri" w:cs="Calibri" w:eastAsia="Calibri" w:hAnsi="Calibri"/>
        <w:b w:val="1"/>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color w:val="000000"/>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color w:val="000000"/>
        <w:sz w:val="16"/>
        <w:szCs w:val="16"/>
        <w:rtl w:val="0"/>
      </w:rPr>
      <w:tab/>
    </w:r>
    <w:r w:rsidDel="00000000" w:rsidR="00000000" w:rsidRPr="00000000">
      <w:rPr>
        <w:rFonts w:ascii="Calibri" w:cs="Calibri" w:eastAsia="Calibri" w:hAnsi="Calibri"/>
        <w:color w:val="000000"/>
        <w:sz w:val="16"/>
        <w:szCs w:val="16"/>
        <w:rtl w:val="0"/>
      </w:rPr>
      <w:t xml:space="preserve">Veřejný</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tabs>
        <w:tab w:val="center" w:leader="none" w:pos="4536"/>
        <w:tab w:val="right" w:leader="none" w:pos="9072"/>
      </w:tabs>
      <w:spacing w:before="1134"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Pr>
      <w:drawing>
        <wp:anchor allowOverlap="1" behindDoc="0" distB="0" distT="0" distL="114300" distR="114300" hidden="0" layoutInCell="1" locked="0" relativeHeight="0" simplePos="0">
          <wp:simplePos x="0" y="0"/>
          <wp:positionH relativeFrom="margin">
            <wp:posOffset>4815844</wp:posOffset>
          </wp:positionH>
          <wp:positionV relativeFrom="page">
            <wp:posOffset>-116204</wp:posOffset>
          </wp:positionV>
          <wp:extent cx="1439545" cy="1439545"/>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39545" cy="1439545"/>
                  </a:xfrm>
                  <a:prstGeom prst="rect"/>
                  <a:ln/>
                </pic:spPr>
              </pic:pic>
            </a:graphicData>
          </a:graphic>
        </wp:anchor>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-76199</wp:posOffset>
          </wp:positionH>
          <wp:positionV relativeFrom="paragraph">
            <wp:posOffset>590550</wp:posOffset>
          </wp:positionV>
          <wp:extent cx="2646539" cy="790257"/>
          <wp:effectExtent b="0" l="0" r="0" t="0"/>
          <wp:wrapNone/>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646539" cy="790257"/>
                  </a:xfrm>
                  <a:prstGeom prst="rect"/>
                  <a:ln/>
                </pic:spPr>
              </pic:pic>
            </a:graphicData>
          </a:graphic>
        </wp:anchor>
      </w:drawing>
    </w:r>
  </w:p>
  <w:p w:rsidR="00000000" w:rsidDel="00000000" w:rsidP="00000000" w:rsidRDefault="00000000" w:rsidRPr="00000000" w14:paraId="00000064">
    <w:pPr>
      <w:tabs>
        <w:tab w:val="center" w:leader="none" w:pos="4536"/>
        <w:tab w:val="right" w:leader="none" w:pos="9072"/>
      </w:tabs>
      <w:spacing w:before="1134"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Smlouva</w:t>
    </w:r>
  </w:p>
  <w:p w:rsidR="00000000" w:rsidDel="00000000" w:rsidP="00000000" w:rsidRDefault="00000000" w:rsidRPr="00000000" w14:paraId="00000065">
    <w:pPr>
      <w:tabs>
        <w:tab w:val="center" w:leader="none" w:pos="4536"/>
        <w:tab w:val="right" w:leader="none" w:pos="9072"/>
      </w:tabs>
      <w:spacing w:before="0" w:line="240" w:lineRule="auto"/>
      <w:jc w:val="right"/>
      <w:rPr>
        <w:rFonts w:ascii="Calibri" w:cs="Calibri" w:eastAsia="Calibri" w:hAnsi="Calibri"/>
      </w:rPr>
    </w:pPr>
    <w:r w:rsidDel="00000000" w:rsidR="00000000" w:rsidRPr="00000000">
      <w:rPr>
        <w:rFonts w:ascii="Calibri" w:cs="Calibri" w:eastAsia="Calibri" w:hAnsi="Calibri"/>
        <w:b w:val="1"/>
        <w:sz w:val="16"/>
        <w:szCs w:val="16"/>
        <w:rtl w:val="0"/>
      </w:rPr>
      <w:t xml:space="preserve">Číslo smlouvy: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900" w:firstLine="324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1620" w:firstLine="630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340" w:firstLine="900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060" w:firstLine="1188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3780" w:firstLine="1494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4500" w:firstLine="1764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220" w:firstLine="2052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5940" w:firstLine="2358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426" w:firstLine="1278"/>
      </w:pPr>
      <w:rPr>
        <w:rFonts w:ascii="Calibri" w:cs="Calibri" w:eastAsia="Calibri" w:hAnsi="Calibri"/>
        <w:b w:val="1"/>
        <w:i w:val="0"/>
        <w:smallCaps w:val="0"/>
        <w:strike w:val="0"/>
        <w:color w:val="000000"/>
        <w:sz w:val="22"/>
        <w:szCs w:val="22"/>
        <w:u w:val="none"/>
        <w:vertAlign w:val="baseline"/>
      </w:rPr>
    </w:lvl>
    <w:lvl w:ilvl="1">
      <w:start w:val="1"/>
      <w:numFmt w:val="bullet"/>
      <w:lvlText w:val="●"/>
      <w:lvlJc w:val="left"/>
      <w:pPr>
        <w:ind w:left="1440" w:firstLine="540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5">
    <w:lvl w:ilvl="0">
      <w:start w:val="1"/>
      <w:numFmt w:val="decimal"/>
      <w:lvlText w:val="%1."/>
      <w:lvlJc w:val="left"/>
      <w:pPr>
        <w:ind w:left="360" w:hanging="218.26771653543312"/>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